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EC073A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04CAE">
        <w:rPr>
          <w:bCs/>
          <w:noProof w:val="0"/>
          <w:sz w:val="24"/>
          <w:szCs w:val="24"/>
        </w:rPr>
        <w:t>-</w:t>
      </w:r>
      <w:r w:rsidR="003902FE">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004CAE">
        <w:rPr>
          <w:bCs/>
          <w:noProof w:val="0"/>
          <w:sz w:val="24"/>
          <w:szCs w:val="24"/>
        </w:rPr>
        <w:t>00847</w:t>
      </w:r>
      <w:bookmarkStart w:id="0" w:name="_GoBack"/>
      <w:bookmarkEnd w:id="0"/>
    </w:p>
    <w:p w14:paraId="11776FA6" w14:textId="475B7259" w:rsidR="00A209D6" w:rsidRPr="00465587" w:rsidRDefault="00BA05A1"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9376CD">
        <w:rPr>
          <w:rFonts w:eastAsia="SimSun"/>
          <w:bCs/>
          <w:sz w:val="24"/>
          <w:szCs w:val="24"/>
          <w:lang w:eastAsia="zh-CN"/>
        </w:rPr>
        <w:t>24</w:t>
      </w:r>
      <w:r w:rsidR="006574C0" w:rsidRPr="006574C0">
        <w:rPr>
          <w:rFonts w:eastAsia="SimSun"/>
          <w:bCs/>
          <w:sz w:val="24"/>
          <w:szCs w:val="24"/>
          <w:lang w:eastAsia="zh-CN"/>
        </w:rPr>
        <w:t xml:space="preserve"> </w:t>
      </w:r>
      <w:r w:rsidR="008F3DCD">
        <w:rPr>
          <w:rFonts w:eastAsia="SimSun"/>
          <w:bCs/>
          <w:sz w:val="24"/>
          <w:szCs w:val="24"/>
          <w:lang w:eastAsia="zh-CN"/>
        </w:rPr>
        <w:t>February</w:t>
      </w:r>
      <w:r w:rsidR="006574C0" w:rsidRPr="006574C0">
        <w:rPr>
          <w:rFonts w:eastAsia="SimSun"/>
          <w:bCs/>
          <w:sz w:val="24"/>
          <w:szCs w:val="24"/>
          <w:lang w:eastAsia="zh-CN"/>
        </w:rPr>
        <w:t xml:space="preserve"> </w:t>
      </w:r>
      <w:r w:rsidR="003902FE" w:rsidRPr="006574C0">
        <w:rPr>
          <w:rFonts w:eastAsia="SimSun"/>
          <w:bCs/>
          <w:sz w:val="24"/>
          <w:szCs w:val="24"/>
          <w:lang w:eastAsia="zh-CN"/>
        </w:rPr>
        <w:t xml:space="preserve">– </w:t>
      </w:r>
      <w:r w:rsidR="003902FE">
        <w:rPr>
          <w:rFonts w:eastAsia="SimSun"/>
          <w:bCs/>
          <w:sz w:val="24"/>
          <w:szCs w:val="24"/>
          <w:lang w:eastAsia="zh-CN"/>
        </w:rPr>
        <w:t>6 March</w:t>
      </w:r>
      <w:r w:rsidR="003902FE" w:rsidRPr="006574C0">
        <w:rPr>
          <w:rFonts w:eastAsia="SimSun"/>
          <w:bCs/>
          <w:sz w:val="24"/>
          <w:szCs w:val="24"/>
          <w:lang w:eastAsia="zh-CN"/>
        </w:rPr>
        <w:t xml:space="preserve"> </w:t>
      </w:r>
      <w:r w:rsidR="006574C0" w:rsidRPr="006574C0">
        <w:rPr>
          <w:rFonts w:eastAsia="SimSun"/>
          <w:bCs/>
          <w:sz w:val="24"/>
          <w:szCs w:val="24"/>
          <w:lang w:eastAsia="zh-CN"/>
        </w:rPr>
        <w:t>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16CD2B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7A94">
        <w:rPr>
          <w:rFonts w:cs="Arial"/>
          <w:b/>
          <w:bCs/>
          <w:sz w:val="24"/>
          <w:lang w:eastAsia="ja-JP"/>
        </w:rPr>
        <w:t>6.1.3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C8D55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3170">
        <w:rPr>
          <w:rFonts w:ascii="Arial" w:hAnsi="Arial" w:cs="Arial"/>
          <w:b/>
          <w:bCs/>
          <w:sz w:val="24"/>
        </w:rPr>
        <w:t>Flow-control details</w:t>
      </w:r>
    </w:p>
    <w:p w14:paraId="1F147C23" w14:textId="623F71B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A5EF1" w:rsidRPr="001A5EF1">
        <w:rPr>
          <w:rFonts w:ascii="Arial" w:hAnsi="Arial" w:cs="Arial"/>
          <w:b/>
          <w:bCs/>
          <w:sz w:val="24"/>
        </w:rPr>
        <w:t>NR_IAB-Core</w:t>
      </w:r>
      <w:r w:rsidRPr="00112F1A">
        <w:rPr>
          <w:rFonts w:ascii="Arial" w:hAnsi="Arial" w:cs="Arial"/>
          <w:b/>
          <w:bCs/>
          <w:sz w:val="24"/>
        </w:rPr>
        <w:t xml:space="preserve"> </w:t>
      </w:r>
      <w:r>
        <w:rPr>
          <w:rFonts w:ascii="Arial" w:hAnsi="Arial" w:cs="Arial"/>
          <w:b/>
          <w:bCs/>
          <w:sz w:val="24"/>
        </w:rPr>
        <w:t xml:space="preserve">- Release </w:t>
      </w:r>
      <w:r w:rsidR="001A5EF1">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DCBBF19" w:rsidR="007F2E08" w:rsidRPr="006E13D1" w:rsidRDefault="00D738BA" w:rsidP="00A209D6">
      <w:r>
        <w:t>This contribution addresses open issues on BAP flow control</w:t>
      </w:r>
      <w:r w:rsidR="00F579CD">
        <w:t>.</w:t>
      </w:r>
    </w:p>
    <w:p w14:paraId="2BBFF540" w14:textId="77E24BD5" w:rsidR="00A209D6" w:rsidRDefault="00A209D6" w:rsidP="00A209D6">
      <w:pPr>
        <w:pStyle w:val="Heading1"/>
      </w:pPr>
      <w:r w:rsidRPr="006E13D1">
        <w:t>2</w:t>
      </w:r>
      <w:r w:rsidRPr="006E13D1">
        <w:tab/>
      </w:r>
      <w:r w:rsidR="00353789">
        <w:t>Discussion</w:t>
      </w:r>
    </w:p>
    <w:p w14:paraId="49874510" w14:textId="257CA847" w:rsidR="00C672B1" w:rsidRPr="006E13D1" w:rsidRDefault="00C672B1" w:rsidP="00C672B1">
      <w:pPr>
        <w:pStyle w:val="Heading2"/>
      </w:pPr>
      <w:r>
        <w:t>2</w:t>
      </w:r>
      <w:r w:rsidRPr="006E13D1">
        <w:t>.1</w:t>
      </w:r>
      <w:r w:rsidRPr="006E13D1">
        <w:tab/>
      </w:r>
      <w:r>
        <w:t>Form of buffer-status indication</w:t>
      </w:r>
    </w:p>
    <w:p w14:paraId="3F843406" w14:textId="2CDFF48C" w:rsidR="00353789" w:rsidRDefault="00D57D67" w:rsidP="00353789">
      <w:r>
        <w:t>RAN2#108 captured the following agreement.</w:t>
      </w:r>
    </w:p>
    <w:p w14:paraId="279032AB" w14:textId="77777777" w:rsidR="00D57D67" w:rsidRDefault="00D57D67" w:rsidP="00D57D67">
      <w:pPr>
        <w:pStyle w:val="Agreement"/>
      </w:pPr>
      <w:r>
        <w:t>We use Available or desired buffer size (absolute e.g. MB kB)</w:t>
      </w:r>
    </w:p>
    <w:p w14:paraId="39AC61D8" w14:textId="77777777" w:rsidR="00D57D67" w:rsidRDefault="00D57D67" w:rsidP="00353789"/>
    <w:p w14:paraId="26B56DB0" w14:textId="61992415" w:rsidR="00D57D67" w:rsidRDefault="00D57D67" w:rsidP="00353789">
      <w:r>
        <w:t>This seems to come with unclear aspects:</w:t>
      </w:r>
    </w:p>
    <w:p w14:paraId="28FAAE82" w14:textId="4F0693BF" w:rsidR="00D57D67" w:rsidRDefault="00D57D67" w:rsidP="00D57D67">
      <w:pPr>
        <w:pStyle w:val="ListParagraph"/>
        <w:numPr>
          <w:ilvl w:val="0"/>
          <w:numId w:val="9"/>
        </w:numPr>
      </w:pPr>
      <w:r>
        <w:t xml:space="preserve">Does “buffer size” refer to an amount of data stored at the IAB node sending this indication, or to </w:t>
      </w:r>
      <w:r w:rsidR="003F52BB">
        <w:t>vacant</w:t>
      </w:r>
      <w:r>
        <w:t xml:space="preserve"> storage/memory? “Desired buffer size” seems to point towards the former while “available buffer size” to the latter;</w:t>
      </w:r>
    </w:p>
    <w:p w14:paraId="5F780D70" w14:textId="009C37BA" w:rsidR="00D57D67" w:rsidRDefault="003F52BB" w:rsidP="00D57D67">
      <w:pPr>
        <w:pStyle w:val="ListParagraph"/>
        <w:numPr>
          <w:ilvl w:val="0"/>
          <w:numId w:val="9"/>
        </w:numPr>
      </w:pPr>
      <w:r>
        <w:t>“Desired buffer size” seems to indicate how much the IAB node wishes to have stored – but how does the parent node receiving this indication know how much is stored already?</w:t>
      </w:r>
    </w:p>
    <w:p w14:paraId="6E8AAA7D" w14:textId="3BFAC8F4" w:rsidR="00D57D67" w:rsidRDefault="003F52BB" w:rsidP="003F52BB">
      <w:pPr>
        <w:ind w:left="284"/>
      </w:pPr>
      <w:r w:rsidRPr="003F52BB">
        <w:rPr>
          <w:b/>
        </w:rPr>
        <w:t>Observation 1</w:t>
      </w:r>
      <w:r>
        <w:t>:</w:t>
      </w:r>
      <w:r>
        <w:tab/>
        <w:t>The agreement to use “Available or desired buffer size” calls for clarification.</w:t>
      </w:r>
    </w:p>
    <w:p w14:paraId="1EFBFA35" w14:textId="6468E834" w:rsidR="003F52BB" w:rsidRDefault="003F52BB" w:rsidP="003F52BB">
      <w:r>
        <w:t>Of these, an “available buffer size” seems the least unclear, at least if understood as a requested maximum amount of further data; a kind of downlink grant by an IAB node being scheduled.</w:t>
      </w:r>
    </w:p>
    <w:p w14:paraId="27A0F63F" w14:textId="32C25400" w:rsidR="003F52BB" w:rsidRDefault="003F52BB" w:rsidP="003F52BB">
      <w:pPr>
        <w:ind w:left="1704" w:hanging="1424"/>
      </w:pPr>
      <w:r w:rsidRPr="003F52BB">
        <w:rPr>
          <w:b/>
        </w:rPr>
        <w:t>Proposal 1</w:t>
      </w:r>
      <w:r>
        <w:t>:</w:t>
      </w:r>
      <w:r>
        <w:tab/>
        <w:t>The “buffer size” in the flow-control feedback indicates requested maximum amount of further data (previously called available buffer size) for the routing ID or ingress RLC channel.</w:t>
      </w:r>
    </w:p>
    <w:p w14:paraId="641D500D" w14:textId="02B4643D" w:rsidR="0025708D" w:rsidRDefault="0025708D" w:rsidP="0025708D">
      <w:r w:rsidRPr="0025708D">
        <w:t xml:space="preserve">Possible </w:t>
      </w:r>
      <w:r>
        <w:t xml:space="preserve">values of this requested amount seem to cover a vast range. An exponential value range seems useful in keeping the overhead reasonable, and the basic unit could be </w:t>
      </w:r>
      <w:r w:rsidR="009D5A9C">
        <w:t xml:space="preserve">the </w:t>
      </w:r>
      <w:r>
        <w:t xml:space="preserve">1500B familiar </w:t>
      </w:r>
      <w:r w:rsidR="009D5A9C">
        <w:t>as a common MTU</w:t>
      </w:r>
      <w:r>
        <w:t>.</w:t>
      </w:r>
    </w:p>
    <w:p w14:paraId="0692601E" w14:textId="446C6D6B" w:rsidR="0025708D" w:rsidRDefault="0025708D" w:rsidP="0025708D">
      <w:pPr>
        <w:ind w:left="1704" w:hanging="1424"/>
      </w:pPr>
      <w:r w:rsidRPr="0025708D">
        <w:rPr>
          <w:b/>
        </w:rPr>
        <w:t>Proposal 2</w:t>
      </w:r>
      <w:r>
        <w:t>:</w:t>
      </w:r>
      <w:r>
        <w:tab/>
        <w:t xml:space="preserve">Values of the Maximum amount of data of Proposal 1 that can be indicated include 0 and </w:t>
      </w:r>
      <w:r>
        <w:br/>
        <w:t>1500B x 2</w:t>
      </w:r>
      <w:r w:rsidRPr="009D5A9C">
        <w:rPr>
          <w:vertAlign w:val="superscript"/>
        </w:rPr>
        <w:t>N</w:t>
      </w:r>
      <w:r>
        <w:t xml:space="preserve"> for 0 &lt;= N &lt;= 30.</w:t>
      </w:r>
    </w:p>
    <w:p w14:paraId="1ACA1DF6" w14:textId="336493B5" w:rsidR="00A851D1" w:rsidRDefault="00A851D1" w:rsidP="00A851D1">
      <w:pPr>
        <w:pStyle w:val="Heading2"/>
      </w:pPr>
      <w:r>
        <w:t>2</w:t>
      </w:r>
      <w:r w:rsidRPr="006E13D1">
        <w:t>.</w:t>
      </w:r>
      <w:r>
        <w:t>2</w:t>
      </w:r>
      <w:r w:rsidRPr="006E13D1">
        <w:tab/>
      </w:r>
      <w:r>
        <w:t>Combined buffer indications</w:t>
      </w:r>
    </w:p>
    <w:p w14:paraId="3483591A" w14:textId="27A629D3" w:rsidR="000076D6" w:rsidRDefault="00AE487B" w:rsidP="000076D6">
      <w:r>
        <w:t xml:space="preserve">It does not seem uncommon that an IAB node reports flow-control feedback regarding multiple RLC channels or routing IDs simultaneously. An example is when the achievable </w:t>
      </w:r>
      <w:r w:rsidR="008D3376">
        <w:t xml:space="preserve">downlink rate on a child link suddenly </w:t>
      </w:r>
      <w:proofErr w:type="gramStart"/>
      <w:r w:rsidR="008D3376">
        <w:t>drops:</w:t>
      </w:r>
      <w:proofErr w:type="gramEnd"/>
      <w:r w:rsidR="008D3376">
        <w:t xml:space="preserve"> this can create a need to update the flow-control feedback for a number of routing IDs for which that child link is configured as next hop. It then seems useful to allow the PDU format for the feedback to allow several RLC channels or routing IDs at once.</w:t>
      </w:r>
    </w:p>
    <w:p w14:paraId="2C9F5E51" w14:textId="206FDFB6" w:rsidR="008D3376" w:rsidRPr="000076D6" w:rsidRDefault="008D3376" w:rsidP="008D3376">
      <w:pPr>
        <w:ind w:left="1704" w:hanging="1424"/>
      </w:pPr>
      <w:r w:rsidRPr="008D3376">
        <w:rPr>
          <w:b/>
        </w:rPr>
        <w:t>Proposal 3</w:t>
      </w:r>
      <w:r>
        <w:t>:</w:t>
      </w:r>
      <w:r>
        <w:tab/>
        <w:t>A single BAP control PDU for flow control can indicate feedback for several routing IDs / RLC channels</w:t>
      </w:r>
    </w:p>
    <w:p w14:paraId="1653CD69" w14:textId="7EE60AC0" w:rsidR="00A851D1" w:rsidRDefault="00A851D1" w:rsidP="00A851D1">
      <w:pPr>
        <w:pStyle w:val="Heading2"/>
      </w:pPr>
      <w:r>
        <w:lastRenderedPageBreak/>
        <w:t>2</w:t>
      </w:r>
      <w:r w:rsidRPr="006E13D1">
        <w:t>.</w:t>
      </w:r>
      <w:r>
        <w:t>3</w:t>
      </w:r>
      <w:r w:rsidRPr="006E13D1">
        <w:tab/>
      </w:r>
      <w:r>
        <w:t>Poll indication and scope</w:t>
      </w:r>
    </w:p>
    <w:p w14:paraId="5A376C72" w14:textId="1403C041" w:rsidR="008D3376" w:rsidRDefault="00434C5D" w:rsidP="008D3376">
      <w:r>
        <w:t xml:space="preserve">Traditionally, such as in RLC and PDCP, polling has had a bit in the data-PDU header. We see no reason to deviate from this, since polling in absence of data to send seems rare. One-bit polling also seems </w:t>
      </w:r>
      <w:proofErr w:type="gramStart"/>
      <w:r>
        <w:t>sufficient</w:t>
      </w:r>
      <w:proofErr w:type="gramEnd"/>
      <w:r>
        <w:t xml:space="preserve"> because the scope of the poll can be implicit from the PDU with the poll bit: either the destination routing ID or the ingress RLC channel, according to which flow-control option has been configured.</w:t>
      </w:r>
    </w:p>
    <w:p w14:paraId="6EF34BFC" w14:textId="3CFE3879" w:rsidR="00434C5D" w:rsidRPr="008D3376" w:rsidRDefault="00434C5D" w:rsidP="00434C5D">
      <w:pPr>
        <w:ind w:left="1704" w:hanging="1424"/>
      </w:pPr>
      <w:r w:rsidRPr="00434C5D">
        <w:rPr>
          <w:b/>
        </w:rPr>
        <w:t>Proposal 4</w:t>
      </w:r>
      <w:r>
        <w:t>:</w:t>
      </w:r>
      <w:r>
        <w:tab/>
        <w:t>The flow-control poll is carried in a BAP Data-PDU header bit</w:t>
      </w:r>
      <w:r w:rsidRPr="006E13D1">
        <w:t>;</w:t>
      </w:r>
      <w:r>
        <w:t xml:space="preserve"> the scope of the poll is implicit from the PDU with the poll bit (the PDU’s destination routing ID, or the ingress RLC channel where the PDU was received)</w:t>
      </w:r>
    </w:p>
    <w:p w14:paraId="5FF2457F" w14:textId="02964BD3" w:rsidR="00A209D6" w:rsidRPr="006E13D1" w:rsidRDefault="004F70CA" w:rsidP="00A209D6">
      <w:pPr>
        <w:pStyle w:val="Heading1"/>
      </w:pPr>
      <w:r>
        <w:t>3</w:t>
      </w:r>
      <w:r w:rsidR="00A209D6" w:rsidRPr="006E13D1">
        <w:tab/>
      </w:r>
      <w:r w:rsidR="008C3057">
        <w:t>Conclusion</w:t>
      </w:r>
    </w:p>
    <w:p w14:paraId="60449C3F" w14:textId="5209EC7C" w:rsidR="00A209D6" w:rsidRPr="006E13D1" w:rsidRDefault="003902FE" w:rsidP="00A209D6">
      <w:r>
        <w:t>This contribution addresses open issues on BAP flow control and concludes with the following.</w:t>
      </w:r>
    </w:p>
    <w:p w14:paraId="7FCE6438" w14:textId="06816C26" w:rsidR="003902FE" w:rsidRDefault="003902FE" w:rsidP="003902FE">
      <w:pPr>
        <w:ind w:left="284"/>
      </w:pPr>
      <w:r w:rsidRPr="003F52BB">
        <w:rPr>
          <w:b/>
        </w:rPr>
        <w:t>Observation 1</w:t>
      </w:r>
      <w:r>
        <w:t>:</w:t>
      </w:r>
      <w:r>
        <w:tab/>
        <w:t>The agreement to use “Available or desired buffer size” calls for clarification.</w:t>
      </w:r>
    </w:p>
    <w:p w14:paraId="2E1E991D" w14:textId="77777777" w:rsidR="003902FE" w:rsidRDefault="003902FE" w:rsidP="003902FE">
      <w:pPr>
        <w:ind w:left="284"/>
      </w:pPr>
    </w:p>
    <w:p w14:paraId="7215D665" w14:textId="77777777" w:rsidR="003902FE" w:rsidRDefault="003902FE" w:rsidP="003902FE">
      <w:pPr>
        <w:ind w:left="1704" w:hanging="1424"/>
      </w:pPr>
      <w:r w:rsidRPr="003F52BB">
        <w:rPr>
          <w:b/>
        </w:rPr>
        <w:t>Proposal 1</w:t>
      </w:r>
      <w:r>
        <w:t>:</w:t>
      </w:r>
      <w:r>
        <w:tab/>
        <w:t>The “buffer size” in the flow-control feedback indicates requested maximum amount of further data (previously called available buffer size) for the routing ID or ingress RLC channel.</w:t>
      </w:r>
    </w:p>
    <w:p w14:paraId="7DFB1E7C" w14:textId="77777777" w:rsidR="003902FE" w:rsidRDefault="003902FE" w:rsidP="003902FE">
      <w:pPr>
        <w:ind w:left="1704" w:hanging="1424"/>
      </w:pPr>
      <w:r w:rsidRPr="0025708D">
        <w:rPr>
          <w:b/>
        </w:rPr>
        <w:t>Proposal 2</w:t>
      </w:r>
      <w:r>
        <w:t>:</w:t>
      </w:r>
      <w:r>
        <w:tab/>
        <w:t xml:space="preserve">Values of the Maximum amount of data of Proposal 1 that can be indicated include 0 and </w:t>
      </w:r>
      <w:r>
        <w:br/>
        <w:t>1500B x 2</w:t>
      </w:r>
      <w:r w:rsidRPr="009D5A9C">
        <w:rPr>
          <w:vertAlign w:val="superscript"/>
        </w:rPr>
        <w:t>N</w:t>
      </w:r>
      <w:r>
        <w:t xml:space="preserve"> for 0 &lt;= N &lt;= 30.</w:t>
      </w:r>
    </w:p>
    <w:p w14:paraId="6571DEB7" w14:textId="77777777" w:rsidR="003902FE" w:rsidRPr="000076D6" w:rsidRDefault="003902FE" w:rsidP="003902FE">
      <w:pPr>
        <w:ind w:left="1704" w:hanging="1424"/>
      </w:pPr>
      <w:r w:rsidRPr="008D3376">
        <w:rPr>
          <w:b/>
        </w:rPr>
        <w:t>Proposal 3</w:t>
      </w:r>
      <w:r>
        <w:t>:</w:t>
      </w:r>
      <w:r>
        <w:tab/>
        <w:t>A single BAP control PDU for flow control can indicate feedback for several routing IDs / RLC channels</w:t>
      </w:r>
    </w:p>
    <w:p w14:paraId="3A5F1E8C" w14:textId="77777777" w:rsidR="003902FE" w:rsidRPr="008D3376" w:rsidRDefault="003902FE" w:rsidP="003902FE">
      <w:pPr>
        <w:ind w:left="1704" w:hanging="1424"/>
      </w:pPr>
      <w:r w:rsidRPr="00434C5D">
        <w:rPr>
          <w:b/>
        </w:rPr>
        <w:t>Proposal 4</w:t>
      </w:r>
      <w:r>
        <w:t>:</w:t>
      </w:r>
      <w:r>
        <w:tab/>
        <w:t>The flow-control poll is carried in a BAP Data-PDU header bit</w:t>
      </w:r>
      <w:r w:rsidRPr="006E13D1">
        <w:t>;</w:t>
      </w:r>
      <w:r>
        <w:t xml:space="preserve"> the scope of the poll is implicit from the PDU with the poll bit (the PDU’s destination routing ID, or the ingress RLC channel where the PDU was received)</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ACB58" w14:textId="77777777" w:rsidR="00905A51" w:rsidRDefault="00905A51">
      <w:r>
        <w:separator/>
      </w:r>
    </w:p>
  </w:endnote>
  <w:endnote w:type="continuationSeparator" w:id="0">
    <w:p w14:paraId="709ED0D4" w14:textId="77777777" w:rsidR="00905A51" w:rsidRDefault="00905A51">
      <w:r>
        <w:continuationSeparator/>
      </w:r>
    </w:p>
  </w:endnote>
  <w:endnote w:type="continuationNotice" w:id="1">
    <w:p w14:paraId="7A6827A4" w14:textId="77777777" w:rsidR="00905A51" w:rsidRDefault="00905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B2AF9" w14:textId="77777777" w:rsidR="00905A51" w:rsidRDefault="00905A51">
      <w:r>
        <w:separator/>
      </w:r>
    </w:p>
  </w:footnote>
  <w:footnote w:type="continuationSeparator" w:id="0">
    <w:p w14:paraId="58AF11DF" w14:textId="77777777" w:rsidR="00905A51" w:rsidRDefault="00905A51">
      <w:r>
        <w:continuationSeparator/>
      </w:r>
    </w:p>
  </w:footnote>
  <w:footnote w:type="continuationNotice" w:id="1">
    <w:p w14:paraId="697185BA" w14:textId="77777777" w:rsidR="00905A51" w:rsidRDefault="00905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340C8"/>
    <w:multiLevelType w:val="hybridMultilevel"/>
    <w:tmpl w:val="C14E72EE"/>
    <w:lvl w:ilvl="0" w:tplc="5CD4BB0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CAE"/>
    <w:rsid w:val="000076D6"/>
    <w:rsid w:val="00016557"/>
    <w:rsid w:val="00022F47"/>
    <w:rsid w:val="00023C40"/>
    <w:rsid w:val="00033397"/>
    <w:rsid w:val="00040095"/>
    <w:rsid w:val="00070B78"/>
    <w:rsid w:val="00073C9C"/>
    <w:rsid w:val="00080512"/>
    <w:rsid w:val="00090468"/>
    <w:rsid w:val="00094568"/>
    <w:rsid w:val="000B7BCF"/>
    <w:rsid w:val="000C522B"/>
    <w:rsid w:val="000D58AB"/>
    <w:rsid w:val="000F2216"/>
    <w:rsid w:val="00112F1A"/>
    <w:rsid w:val="00145075"/>
    <w:rsid w:val="001741A0"/>
    <w:rsid w:val="00175FA0"/>
    <w:rsid w:val="00194CD0"/>
    <w:rsid w:val="001A2BD7"/>
    <w:rsid w:val="001A5EF1"/>
    <w:rsid w:val="001B49C9"/>
    <w:rsid w:val="001C23F4"/>
    <w:rsid w:val="001C3159"/>
    <w:rsid w:val="001C4F79"/>
    <w:rsid w:val="001F168B"/>
    <w:rsid w:val="001F7831"/>
    <w:rsid w:val="00203383"/>
    <w:rsid w:val="00204045"/>
    <w:rsid w:val="0020712B"/>
    <w:rsid w:val="0022606D"/>
    <w:rsid w:val="00231728"/>
    <w:rsid w:val="00250404"/>
    <w:rsid w:val="0025708D"/>
    <w:rsid w:val="002610D8"/>
    <w:rsid w:val="002747EC"/>
    <w:rsid w:val="002855BF"/>
    <w:rsid w:val="002F0D22"/>
    <w:rsid w:val="002F7DE2"/>
    <w:rsid w:val="00306A2C"/>
    <w:rsid w:val="00311B17"/>
    <w:rsid w:val="003172DC"/>
    <w:rsid w:val="00325632"/>
    <w:rsid w:val="00325AE3"/>
    <w:rsid w:val="00326069"/>
    <w:rsid w:val="00353789"/>
    <w:rsid w:val="0035462D"/>
    <w:rsid w:val="00364B41"/>
    <w:rsid w:val="00383096"/>
    <w:rsid w:val="003902FE"/>
    <w:rsid w:val="003A41EF"/>
    <w:rsid w:val="003B40AD"/>
    <w:rsid w:val="003C4E37"/>
    <w:rsid w:val="003D1549"/>
    <w:rsid w:val="003E16BE"/>
    <w:rsid w:val="003F4E28"/>
    <w:rsid w:val="003F52BB"/>
    <w:rsid w:val="004006E8"/>
    <w:rsid w:val="00401855"/>
    <w:rsid w:val="00434C5D"/>
    <w:rsid w:val="00465587"/>
    <w:rsid w:val="00477455"/>
    <w:rsid w:val="004A1F7B"/>
    <w:rsid w:val="004C44D2"/>
    <w:rsid w:val="004D3578"/>
    <w:rsid w:val="004D380D"/>
    <w:rsid w:val="004E213A"/>
    <w:rsid w:val="004F70CA"/>
    <w:rsid w:val="00503171"/>
    <w:rsid w:val="00506C28"/>
    <w:rsid w:val="00534DA0"/>
    <w:rsid w:val="00543E6C"/>
    <w:rsid w:val="00565087"/>
    <w:rsid w:val="0056573F"/>
    <w:rsid w:val="00611566"/>
    <w:rsid w:val="006409B3"/>
    <w:rsid w:val="00646D99"/>
    <w:rsid w:val="00656910"/>
    <w:rsid w:val="006574C0"/>
    <w:rsid w:val="006C66D8"/>
    <w:rsid w:val="006D1E24"/>
    <w:rsid w:val="006E1417"/>
    <w:rsid w:val="006F6A2C"/>
    <w:rsid w:val="007069DC"/>
    <w:rsid w:val="00710201"/>
    <w:rsid w:val="0072073A"/>
    <w:rsid w:val="007342B5"/>
    <w:rsid w:val="00734A5B"/>
    <w:rsid w:val="00735150"/>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93CB2"/>
    <w:rsid w:val="008A3A00"/>
    <w:rsid w:val="008B5306"/>
    <w:rsid w:val="008C2E2A"/>
    <w:rsid w:val="008C3057"/>
    <w:rsid w:val="008D2E4D"/>
    <w:rsid w:val="008D3376"/>
    <w:rsid w:val="008F396F"/>
    <w:rsid w:val="008F3DCD"/>
    <w:rsid w:val="0090271F"/>
    <w:rsid w:val="00902DB9"/>
    <w:rsid w:val="0090466A"/>
    <w:rsid w:val="00905A51"/>
    <w:rsid w:val="00923655"/>
    <w:rsid w:val="00936071"/>
    <w:rsid w:val="009376CD"/>
    <w:rsid w:val="00940212"/>
    <w:rsid w:val="00942EC2"/>
    <w:rsid w:val="00961B32"/>
    <w:rsid w:val="00962509"/>
    <w:rsid w:val="00970DB3"/>
    <w:rsid w:val="00974BB0"/>
    <w:rsid w:val="00975BCD"/>
    <w:rsid w:val="009A0AF3"/>
    <w:rsid w:val="009B07CD"/>
    <w:rsid w:val="009C19E9"/>
    <w:rsid w:val="009D5A9C"/>
    <w:rsid w:val="009D74A6"/>
    <w:rsid w:val="00A10F02"/>
    <w:rsid w:val="00A204CA"/>
    <w:rsid w:val="00A209D6"/>
    <w:rsid w:val="00A43170"/>
    <w:rsid w:val="00A53724"/>
    <w:rsid w:val="00A54B2B"/>
    <w:rsid w:val="00A82346"/>
    <w:rsid w:val="00A851D1"/>
    <w:rsid w:val="00A9671C"/>
    <w:rsid w:val="00AA1553"/>
    <w:rsid w:val="00AE487B"/>
    <w:rsid w:val="00AE50FB"/>
    <w:rsid w:val="00B01023"/>
    <w:rsid w:val="00B05380"/>
    <w:rsid w:val="00B05962"/>
    <w:rsid w:val="00B114F3"/>
    <w:rsid w:val="00B15449"/>
    <w:rsid w:val="00B16C2F"/>
    <w:rsid w:val="00B27303"/>
    <w:rsid w:val="00B47FD1"/>
    <w:rsid w:val="00B516BB"/>
    <w:rsid w:val="00B84DB2"/>
    <w:rsid w:val="00BA05A1"/>
    <w:rsid w:val="00BB3236"/>
    <w:rsid w:val="00BC3555"/>
    <w:rsid w:val="00C12B51"/>
    <w:rsid w:val="00C24650"/>
    <w:rsid w:val="00C25465"/>
    <w:rsid w:val="00C33079"/>
    <w:rsid w:val="00C672B1"/>
    <w:rsid w:val="00C768C9"/>
    <w:rsid w:val="00C822AF"/>
    <w:rsid w:val="00C83A13"/>
    <w:rsid w:val="00C9068C"/>
    <w:rsid w:val="00C92967"/>
    <w:rsid w:val="00CA3D0C"/>
    <w:rsid w:val="00CA654B"/>
    <w:rsid w:val="00CB72B8"/>
    <w:rsid w:val="00CD4C7B"/>
    <w:rsid w:val="00CD58FE"/>
    <w:rsid w:val="00D33BE3"/>
    <w:rsid w:val="00D3792D"/>
    <w:rsid w:val="00D55E47"/>
    <w:rsid w:val="00D57D67"/>
    <w:rsid w:val="00D62E19"/>
    <w:rsid w:val="00D67CD1"/>
    <w:rsid w:val="00D738BA"/>
    <w:rsid w:val="00D738D6"/>
    <w:rsid w:val="00D80795"/>
    <w:rsid w:val="00D854BE"/>
    <w:rsid w:val="00D87E00"/>
    <w:rsid w:val="00D9134D"/>
    <w:rsid w:val="00D96D11"/>
    <w:rsid w:val="00DA7A03"/>
    <w:rsid w:val="00DB0DB8"/>
    <w:rsid w:val="00DB1818"/>
    <w:rsid w:val="00DC1E22"/>
    <w:rsid w:val="00DC309B"/>
    <w:rsid w:val="00DC4DA2"/>
    <w:rsid w:val="00DC5261"/>
    <w:rsid w:val="00DE25D2"/>
    <w:rsid w:val="00DF0E64"/>
    <w:rsid w:val="00E46C08"/>
    <w:rsid w:val="00E471CF"/>
    <w:rsid w:val="00E62835"/>
    <w:rsid w:val="00E74573"/>
    <w:rsid w:val="00E77645"/>
    <w:rsid w:val="00E77A94"/>
    <w:rsid w:val="00E83697"/>
    <w:rsid w:val="00EA204F"/>
    <w:rsid w:val="00EA66C9"/>
    <w:rsid w:val="00EB23A6"/>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B799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qFormat/>
    <w:rsid w:val="00D57D67"/>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D57D67"/>
    <w:pPr>
      <w:ind w:left="720"/>
      <w:contextualSpacing/>
    </w:pPr>
  </w:style>
  <w:style w:type="character" w:styleId="CommentReference">
    <w:name w:val="annotation reference"/>
    <w:basedOn w:val="DefaultParagraphFont"/>
    <w:rsid w:val="003902FE"/>
    <w:rPr>
      <w:sz w:val="16"/>
      <w:szCs w:val="16"/>
    </w:rPr>
  </w:style>
  <w:style w:type="paragraph" w:styleId="CommentText">
    <w:name w:val="annotation text"/>
    <w:basedOn w:val="Normal"/>
    <w:link w:val="CommentTextChar"/>
    <w:rsid w:val="003902FE"/>
  </w:style>
  <w:style w:type="character" w:customStyle="1" w:styleId="CommentTextChar">
    <w:name w:val="Comment Text Char"/>
    <w:basedOn w:val="DefaultParagraphFont"/>
    <w:link w:val="CommentText"/>
    <w:rsid w:val="003902FE"/>
    <w:rPr>
      <w:lang w:eastAsia="en-US"/>
    </w:rPr>
  </w:style>
  <w:style w:type="paragraph" w:styleId="CommentSubject">
    <w:name w:val="annotation subject"/>
    <w:basedOn w:val="CommentText"/>
    <w:next w:val="CommentText"/>
    <w:link w:val="CommentSubjectChar"/>
    <w:rsid w:val="003902FE"/>
    <w:rPr>
      <w:b/>
      <w:bCs/>
    </w:rPr>
  </w:style>
  <w:style w:type="character" w:customStyle="1" w:styleId="CommentSubjectChar">
    <w:name w:val="Comment Subject Char"/>
    <w:basedOn w:val="CommentTextChar"/>
    <w:link w:val="CommentSubject"/>
    <w:rsid w:val="003902F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5AIRPNAIUNRU-859666464-6055</_dlc_DocId>
    <_dlc_DocIdUrl xmlns="71c5aaf6-e6ce-465b-b873-5148d2a4c105">
      <Url>https://nokia.sharepoint.com/sites/c5g/e2earch/_layouts/15/DocIdRedir.aspx?ID=5AIRPNAIUNRU-859666464-6055</Url>
      <Description>5AIRPNAIUNRU-859666464-6055</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D68749A-54B4-489D-863B-639FCACD10D7}">
  <ds:schemaRefs>
    <ds:schemaRef ds:uri="http://schemas.microsoft.com/sharepoint/events"/>
  </ds:schemaRefs>
</ds:datastoreItem>
</file>

<file path=customXml/itemProps4.xml><?xml version="1.0" encoding="utf-8"?>
<ds:datastoreItem xmlns:ds="http://schemas.openxmlformats.org/officeDocument/2006/customXml" ds:itemID="{FBB2A13E-DCCB-4EA8-9966-3E6A622E2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659</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3</cp:revision>
  <dcterms:created xsi:type="dcterms:W3CDTF">2020-02-13T11:15:00Z</dcterms:created>
  <dcterms:modified xsi:type="dcterms:W3CDTF">2020-02-13T11:30:00Z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e7158f9a-428e-40a5-b18f-d30002c3814c</vt:lpwstr>
  </property>
</Properties>
</file>